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r>
        <w:rPr>
          <w:b/>
          <w:bCs/>
          <w:color w:val="2E75B6"/>
          <w:sz w:val="24"/>
          <w:szCs w:val="24"/>
        </w:rPr>
        <w:t xml:space="preserve">METRO POWER CORPORATION</w:t>
      </w:r>
    </w:p>
    <w:p>
      <w:pPr>
        <w:spacing w:before="300"/>
      </w:pPr>
      <w:r>
        <w:rPr>
          <w:b/>
          <w:bCs/>
          <w:color w:val="1F3864"/>
          <w:sz w:val="60"/>
          <w:szCs w:val="60"/>
        </w:rPr>
        <w:t xml:space="preserve">The AMPERE Toolkit</w:t>
      </w:r>
    </w:p>
    <w:p>
      <w:pPr>
        <w:pBdr>
          <w:bottom w:val="single" w:color="2E75B6" w:sz="12" w:space="8"/>
        </w:pBdr>
        <w:spacing w:after="400" w:before="120"/>
      </w:pPr>
      <w:r>
        <w:rPr>
          <w:i/>
          <w:iCs/>
          <w:color w:val="1F3864"/>
          <w:sz w:val="32"/>
          <w:szCs w:val="32"/>
        </w:rPr>
        <w:t xml:space="preserve">Document Templates</w:t>
      </w:r>
    </w:p>
    <w:p>
      <w:pPr>
        <w:spacing w:after="200"/>
      </w:pPr>
      <w:r>
        <w:rPr>
          <w:sz w:val="24"/>
          <w:szCs w:val="24"/>
        </w:rPr>
        <w:t xml:space="preserve">Companion to the AMPERE Protocol, Version 5.1, and the AMPERE Toolkit workbook</w:t>
      </w:r>
    </w:p>
    <w:p>
      <w:pPr>
        <w:spacing w:after="60" w:before="1200"/>
      </w:pPr>
      <w:r>
        <w:rPr>
          <w:b/>
          <w:bCs/>
          <w:sz w:val="24"/>
          <w:szCs w:val="24"/>
        </w:rPr>
        <w:t xml:space="preserve">Version 5.1 · September 2026</w:t>
      </w:r>
    </w:p>
    <w:p>
      <w:r>
        <w:rPr>
          <w:color w:val="1F3864"/>
          <w:sz w:val="22"/>
          <w:szCs w:val="22"/>
        </w:rPr>
        <w:t xml:space="preserve">Status: Issued, approved September 22, 2026</w:t>
      </w:r>
    </w:p>
    <w:p>
      <w:pPr>
        <w:spacing w:before="1400"/>
      </w:pPr>
      <w:r>
        <w:rPr>
          <w:i/>
          <w:iCs/>
          <w:color w:val="595959"/>
          <w:sz w:val="17"/>
          <w:szCs w:val="17"/>
        </w:rPr>
        <w:t xml:space="preserve">Templates are starting points. Replace bracketed text, translate consumer materials into the local language, and have legal, regulatory, and safety content reviewed by the utility before use. This document is practitioner guidance, not a regulatory issuance.</w:t>
      </w:r>
    </w:p>
    <w:p>
      <w:pPr>
        <w:pStyle w:val="Heading1"/>
      </w:pPr>
      <w:r>
        <w:t xml:space="preserve">Templates in This Document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4024"/>
        <w:gridCol w:w="2340"/>
        <w:gridCol w:w="2341"/>
      </w:tblGrid>
      <w:tr>
        <w:trPr>
          <w:tblHeader/>
        </w:trPr>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402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Template</w:t>
            </w:r>
          </w:p>
        </w:tc>
        <w:tc>
          <w:tcPr>
            <w:tcW w:type="dxa" w:w="234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Used at</w:t>
            </w:r>
          </w:p>
        </w:tc>
        <w:tc>
          <w:tcPr>
            <w:tcW w:type="dxa" w:w="234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Protocol reference</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T1</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Decision Paper</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Every gate</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5.1; Annex B</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T2</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Evaluation Report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E1 (deliverable E-1)</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9</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T3</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Regulatory Application Package Outline</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E1 (deliverable E-4)</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14, 19</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T4</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Requirements Specification and Tender Outline</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M (deliverables M-1, M-7)</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7, 15; Annex E</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T5</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Pre-Installation Notice</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Stages P and R</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17.1</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T6</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First AMI Bill Explanation Insert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Stages P and R</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17.1, 18</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T7</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Installation and Safety Checklist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Stages P and R</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8, 10</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T8</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Wave Completion Report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R (deliverable R-2)</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10</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T9</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Gate Review Report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Before Gates 2 and 4 (recommended at others)</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5.4</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T10</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Advisor Conflict-of-Interest Disclosure</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Start of every advisory engagement</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13.3</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T11</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Conformance Statement and Transition Mapping</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each gate, at program close, and on adoption of a sector framework</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2.5, 23.4, 30.6</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T12</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Program Exit Checklist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When a program is stopped</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5.5</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T13</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Reviewer Accreditation Application and Conflict Declaration</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Sector framework: reviewer accreditation</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28.2</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T14</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Framework Change Request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Any time</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30.2</w:t>
            </w:r>
          </w:p>
        </w:tc>
      </w:tr>
      <w:tr>
        <w:trPr>
          <w:cantSplit/>
        </w:trPr>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T15</w:t>
            </w:r>
          </w:p>
        </w:tc>
        <w:tc>
          <w:tcPr>
            <w:tcW w:type="dxa" w:w="40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Adoption Checklist for an Adopting Body</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Before adopting AMPERE as a sector framework</w:t>
            </w:r>
          </w:p>
        </w:tc>
        <w:tc>
          <w:tcPr>
            <w:tcW w:type="dxa" w:w="234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23</w:t>
            </w:r>
          </w:p>
        </w:tc>
      </w:tr>
    </w:tbl>
    <w:p>
      <w:pPr>
        <w:spacing w:after="120"/>
      </w:pPr>
    </w:p>
    <w:p>
      <w:pPr>
        <w:spacing w:after="120"/>
      </w:pPr>
      <w:r>
        <w:t xml:space="preserve">Registers, trackers, calculators, and scoring sheets are in the AMPERE Toolkit workbook (.xlsx).</w:t>
      </w:r>
    </w:p>
    <w:p>
      <w:pPr>
        <w:pStyle w:val="Heading1"/>
        <w:pageBreakBefore/>
      </w:pPr>
      <w:r>
        <w:t xml:space="preserve">T1: Gate Decision Paper</w:t>
      </w:r>
    </w:p>
    <w:p>
      <w:pPr>
        <w:spacing w:after="120"/>
      </w:pPr>
      <w:r>
        <w:t xml:space="preserve">Keep the paper to four pages or fewer, plus attachments. Record the decision in the workbook sheet “W1 Gate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Utility</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Program</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Gate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Decision owner</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Date of meeting</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Prepared by</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Reviewed by</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1. Decision Requested</w:t>
      </w:r>
    </w:p>
    <w:p>
      <w:pPr>
        <w:spacing w:after="120"/>
      </w:pPr>
      <w:r>
        <w:t xml:space="preserve">[State the decision in one sentence, e.g., “The Board is asked to approve a pilot of [number] meters in [areas] with a budget of ₱[amount].”]</w:t>
      </w:r>
    </w:p>
    <w:p>
      <w:pPr>
        <w:pStyle w:val="Heading2"/>
      </w:pPr>
      <w:r>
        <w:t xml:space="preserve">2. Recommendation</w:t>
      </w:r>
    </w:p>
    <w:p>
      <w:pPr>
        <w:spacing w:after="120"/>
      </w:pPr>
      <w:r>
        <w:t xml:space="preserve">[Recommended outcome and the main reason, in one paragraph.]</w:t>
      </w:r>
    </w:p>
    <w:p>
      <w:pPr>
        <w:pStyle w:val="Heading2"/>
      </w:pPr>
      <w:r>
        <w:t xml:space="preserve">3. Evidence Against Gate Criteria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
        <w:gridCol w:w="3744"/>
        <w:gridCol w:w="1310"/>
        <w:gridCol w:w="1872"/>
        <w:gridCol w:w="1873"/>
      </w:tblGrid>
      <w:tr>
        <w:trPr>
          <w:tblHeader/>
        </w:trPr>
        <w:tc>
          <w:tcPr>
            <w:tcW w:type="dxa" w:w="5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Criterion (from Protocol)</w:t>
            </w:r>
          </w:p>
        </w:tc>
        <w:tc>
          <w:tcPr>
            <w:tcW w:type="dxa" w:w="131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Must / Should</w:t>
            </w:r>
          </w:p>
        </w:tc>
        <w:tc>
          <w:tcPr>
            <w:tcW w:type="dxa" w:w="187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Status (Met / Not met / Should waived)</w:t>
            </w:r>
          </w:p>
        </w:tc>
        <w:tc>
          <w:tcPr>
            <w:tcW w:type="dxa" w:w="187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Evidence reference</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6</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7</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8</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9</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10</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11</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12</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13</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14</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15</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16</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17</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18</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4. Remaining Risks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1123"/>
        <w:gridCol w:w="1497"/>
        <w:gridCol w:w="2996"/>
      </w:tblGrid>
      <w:tr>
        <w:trPr>
          <w:tblHeader/>
        </w:trPr>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Risk</w:t>
            </w:r>
          </w:p>
        </w:tc>
        <w:tc>
          <w:tcPr>
            <w:tcW w:type="dxa" w:w="112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Rating</w:t>
            </w:r>
          </w:p>
        </w:tc>
        <w:tc>
          <w:tcPr>
            <w:tcW w:type="dxa" w:w="14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Owner</w:t>
            </w:r>
          </w:p>
        </w:tc>
        <w:tc>
          <w:tcPr>
            <w:tcW w:type="dxa" w:w="299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Mitigation</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5. Business Case Summary Under the Five Cases (Gates 2 and 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3369"/>
        <w:gridCol w:w="4681"/>
      </w:tblGrid>
      <w:tr>
        <w:trPr>
          <w:tblHeader/>
        </w:trPr>
        <w:tc>
          <w:tcPr>
            <w:tcW w:type="dxa" w:w="131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Case</w:t>
            </w:r>
          </w:p>
        </w:tc>
        <w:tc>
          <w:tcPr>
            <w:tcW w:type="dxa" w:w="336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Question</w:t>
            </w:r>
          </w:p>
        </w:tc>
        <w:tc>
          <w:tcPr>
            <w:tcW w:type="dxa" w:w="468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Summary and evidence reference</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Strategic</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Is there a compelling case for change?</w:t>
            </w:r>
          </w:p>
        </w:tc>
        <w:tc>
          <w:tcPr>
            <w:tcW w:type="dxa" w:w="46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Economic</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Which option offers the best value, including to consumers and society?</w:t>
            </w:r>
          </w:p>
        </w:tc>
        <w:tc>
          <w:tcPr>
            <w:tcW w:type="dxa" w:w="46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Commercial</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Can a viable, protective deal be secured and sustained?</w:t>
            </w:r>
          </w:p>
        </w:tc>
        <w:tc>
          <w:tcPr>
            <w:tcW w:type="dxa" w:w="46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Financial</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Is it affordable, and how will it be funded and recovered?</w:t>
            </w:r>
          </w:p>
        </w:tc>
        <w:tc>
          <w:tcPr>
            <w:tcW w:type="dxa" w:w="46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Management</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Can we deliver it and realize the benefits?</w:t>
            </w:r>
          </w:p>
        </w:tc>
        <w:tc>
          <w:tcPr>
            <w:tcW w:type="dxa" w:w="468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6. Cost, Commitment, and Options</w:t>
      </w:r>
    </w:p>
    <w:p>
      <w:pPr>
        <w:spacing w:after="120"/>
      </w:pPr>
      <w:r>
        <w:t xml:space="preserve">[Amounts to be spent or committed if approved; cost and consequences of delay or of not proceeding; each allowed outcome for this gate and its consequences.]</w:t>
      </w:r>
    </w:p>
    <w:p>
      <w:pPr>
        <w:pStyle w:val="Heading2"/>
      </w:pPr>
      <w:r>
        <w:t xml:space="preserve">7. Proposed Conditions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6"/>
        <w:gridCol w:w="1872"/>
        <w:gridCol w:w="1872"/>
      </w:tblGrid>
      <w:tr>
        <w:trPr>
          <w:tblHeader/>
        </w:trPr>
        <w:tc>
          <w:tcPr>
            <w:tcW w:type="dxa" w:w="56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Condition</w:t>
            </w:r>
          </w:p>
        </w:tc>
        <w:tc>
          <w:tcPr>
            <w:tcW w:type="dxa" w:w="187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Owner</w:t>
            </w:r>
          </w:p>
        </w:tc>
        <w:tc>
          <w:tcPr>
            <w:tcW w:type="dxa" w:w="187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Due date</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8. Independent Review (Gates 2 and 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Reviewer (name, organization)</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Delivery confidence rating</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Green / Green-Amber / Amber / Amber-Red / Red (lean path at Gate 2: Green / Amber / Red)</w:t>
            </w: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Critical recommendations and how each was addressed</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9. Consultation and Approvals (Gate 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Consumer or member consultation held (dates, forums, main questions and responses; Protocol 17.7)</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Workforce Transition Plan approved (date; consultation with employees or union; Protocol 12.1)</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ERC approval: obtained / pending (route and reference)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Supervising agency and lender clearances: obtained / pending</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Rollout contracts conditional on pending approvals? (Protocol 9.7)</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Yes   ☐ No contracts yet</w:t>
            </w:r>
          </w:p>
        </w:tc>
      </w:tr>
    </w:tbl>
    <w:p>
      <w:pPr>
        <w:spacing w:after="120"/>
      </w:pPr>
    </w:p>
    <w:p>
      <w:pPr>
        <w:pStyle w:val="Heading2"/>
      </w:pPr>
      <w:r>
        <w:t xml:space="preserve">10. Attachments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6"/>
        <w:gridCol w:w="1404"/>
        <w:gridCol w:w="2340"/>
      </w:tblGrid>
      <w:tr>
        <w:trPr>
          <w:tblHeader/>
        </w:trPr>
        <w:tc>
          <w:tcPr>
            <w:tcW w:type="dxa" w:w="56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Document</w:t>
            </w:r>
          </w:p>
        </w:tc>
        <w:tc>
          <w:tcPr>
            <w:tcW w:type="dxa" w:w="14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Version</w:t>
            </w:r>
          </w:p>
        </w:tc>
        <w:tc>
          <w:tcPr>
            <w:tcW w:type="dxa" w:w="234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Approval status</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11. Decision Record</w:t>
      </w:r>
    </w:p>
    <w:p>
      <w:pPr>
        <w:spacing w:after="120"/>
      </w:pPr>
      <w:r>
        <w:t xml:space="preserve">Tick one outcome allowed for this gate (Protocol Annex B.1). Conditions are permitted only when every Must criterion is met; they may cover Should criteria, gap-plan items, or Minor defects, each with an owner and a deadline no later than the next gate or 90 days.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0"/>
        <w:gridCol w:w="6740"/>
      </w:tblGrid>
      <w:tr>
        <w:trPr>
          <w:tblHeader/>
        </w:trPr>
        <w:tc>
          <w:tcPr>
            <w:tcW w:type="dxa" w:w="262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w:t>
            </w:r>
          </w:p>
        </w:tc>
        <w:tc>
          <w:tcPr>
            <w:tcW w:type="dxa" w:w="674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Allowed outcomes (tick one)</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Gate 1</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Proceed   ☐ Proceed with conditions   ☐ Hold</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Gate 2</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Approve as proposed   ☐ Approve with changes   ☐ Return for further design   ☐ Stop</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Gate 3 (by stratum if needed)</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Accept   ☐ Accept with corrective actions (Minor only)   ☐ Retest   ☐ Reject</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Gate 4 (by stratum if needed)</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Scale   ☐ Scale with conditions   ☐ Extend and correct   ☐ Re-scope or re-procure   ☐ Stop</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Gate 5 cohort check</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Continue   ☐ Continue on watch   ☐ Pause and correct   ☐ Re-plan remaining rollout</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Gate 5 handover</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Accept handover   ☐ Accept with conditions   ☐ Defer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Strata to which the decision applies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Conditions (owner, deadline)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Should criteria waived and reasons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Board resolution number and date (for Board decisions)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Signature, name, title, date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T2: Pilot Evaluation Report</w:t>
      </w:r>
    </w:p>
    <w:p>
      <w:pPr>
        <w:spacing w:after="120"/>
      </w:pPr>
      <w:r>
        <w:t xml:space="preserve">The report judges the pilot against the Pilot Evaluation Plan approved at Gate 2. It must report failures as clearly as successes.</w:t>
      </w:r>
    </w:p>
    <w:p>
      <w:pPr>
        <w:pStyle w:val="Heading2"/>
      </w:pPr>
      <w:r>
        <w:t xml:space="preserve">1. Summary</w:t>
      </w:r>
    </w:p>
    <w:p>
      <w:pPr>
        <w:spacing w:after="120"/>
      </w:pPr>
      <w:r>
        <w:t xml:space="preserve">[One page: what was tested, headline results against Must-Pass thresholds, and the recommended Gate 4 outcome under Protocol Section 9.6.]</w:t>
      </w:r>
    </w:p>
    <w:p>
      <w:pPr>
        <w:pStyle w:val="Heading2"/>
      </w:pPr>
      <w:r>
        <w:t xml:space="preserve">2. Pilot Scope</w:t>
      </w:r>
    </w:p>
    <w:p>
      <w:pPr>
        <w:spacing w:after="120"/>
      </w:pPr>
      <w:r>
        <w:t xml:space="preserve">[Areas, meters by stratum, technologies, vendors, dates of installation, SAT, and measurement period. Note any deviation from the approved plan and who approved it.]</w:t>
      </w:r>
    </w:p>
    <w:p>
      <w:pPr>
        <w:pStyle w:val="Heading2"/>
      </w:pPr>
      <w:r>
        <w:t xml:space="preserve">3. Data Quality Statement and Analysis Plan Compliance</w:t>
      </w:r>
    </w:p>
    <w:p>
      <w:pPr>
        <w:spacing w:after="120"/>
      </w:pPr>
      <w:r>
        <w:t xml:space="preserve">[Sources, completeness, exclusions, who calculated and who independently verified each KPI. Confirm that results were calculated as set out in the approved analysis plan (Protocol Annex C.2; Toolkit P7). List every amendment to the plan from the amendment log, and flag any change made after results were known.]</w:t>
      </w:r>
    </w:p>
    <w:p>
      <w:pPr>
        <w:pStyle w:val="Heading2"/>
      </w:pPr>
      <w:r>
        <w:t xml:space="preserve">4. Results Against Hypotheses</w:t>
      </w:r>
    </w:p>
    <w:p>
      <w:pPr>
        <w:spacing w:after="120"/>
      </w:pPr>
      <w:r>
        <w:t xml:space="preserve">Report every Must-Pass KPI separately for each stratum; a pooled result may be shown only in addition. Identify business-case KPIs. Apply the Gate 2 pass rule (Protocol 8.6): for each stratum report the result, n, and the one-sided 95% bound, and state the status as Met, Inconclusive, or Not met (Toolkit P1).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1310"/>
        <w:gridCol w:w="842"/>
        <w:gridCol w:w="748"/>
        <w:gridCol w:w="936"/>
        <w:gridCol w:w="936"/>
        <w:gridCol w:w="936"/>
        <w:gridCol w:w="936"/>
        <w:gridCol w:w="842"/>
        <w:gridCol w:w="938"/>
      </w:tblGrid>
      <w:tr>
        <w:trPr>
          <w:tblHeader/>
        </w:trPr>
        <w:tc>
          <w:tcPr>
            <w:tcW w:type="dxa" w:w="93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Hypothesis</w:t>
            </w:r>
          </w:p>
        </w:tc>
        <w:tc>
          <w:tcPr>
            <w:tcW w:type="dxa" w:w="131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KPI (designation)</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Threshold / margin</w:t>
            </w:r>
          </w:p>
        </w:tc>
        <w:tc>
          <w:tcPr>
            <w:tcW w:type="dxa" w:w="7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Baseline</w:t>
            </w:r>
          </w:p>
        </w:tc>
        <w:tc>
          <w:tcPr>
            <w:tcW w:type="dxa" w:w="93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Stratum 1 result / n / bound</w:t>
            </w:r>
          </w:p>
        </w:tc>
        <w:tc>
          <w:tcPr>
            <w:tcW w:type="dxa" w:w="93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Stratum 2 result / n / bound</w:t>
            </w:r>
          </w:p>
        </w:tc>
        <w:tc>
          <w:tcPr>
            <w:tcW w:type="dxa" w:w="93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Stratum 3 result / n / bound</w:t>
            </w:r>
          </w:p>
        </w:tc>
        <w:tc>
          <w:tcPr>
            <w:tcW w:type="dxa" w:w="93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Stratum 4 result / n / bound</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Status by stratum</w:t>
            </w:r>
          </w:p>
        </w:tc>
        <w:tc>
          <w:tcPr>
            <w:tcW w:type="dxa" w:w="93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Explanation</w:t>
            </w:r>
          </w:p>
        </w:tc>
      </w:tr>
      <w:tr>
        <w:trPr>
          <w:cantSplit/>
        </w:trPr>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7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7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7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7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7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7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7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7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93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5. Comparison With Baseline and Comparison Area</w:t>
      </w:r>
    </w:p>
    <w:p>
      <w:pPr>
        <w:spacing w:after="120"/>
      </w:pPr>
      <w:r>
        <w:t xml:space="preserve">[Method and results; how seasonal or other effects were separated from AMI effects.]</w:t>
      </w:r>
    </w:p>
    <w:p>
      <w:pPr>
        <w:pStyle w:val="Heading2"/>
      </w:pPr>
      <w:r>
        <w:t xml:space="preserve">6. Consumer Findings</w:t>
      </w:r>
    </w:p>
    <w:p>
      <w:pPr>
        <w:spacing w:after="120"/>
      </w:pPr>
      <w:r>
        <w:t xml:space="preserve">[Complaints by category, service-level performance, meter-test turnaround, survey results, issues affecting vulnerable consumers, and input from consumer representatives.]</w:t>
      </w:r>
    </w:p>
    <w:p>
      <w:pPr>
        <w:pStyle w:val="Heading2"/>
      </w:pPr>
      <w:r>
        <w:t xml:space="preserve">7. Security and Privacy Findings</w:t>
      </w:r>
    </w:p>
    <w:p>
      <w:pPr>
        <w:spacing w:after="120"/>
      </w:pPr>
      <w:r>
        <w:t xml:space="preserve">[Test results, incidents, open findings, privacy requests.]</w:t>
      </w:r>
    </w:p>
    <w:p>
      <w:pPr>
        <w:pStyle w:val="Heading2"/>
      </w:pPr>
      <w:r>
        <w:t xml:space="preserve">8. Actual Costs</w:t>
      </w:r>
    </w:p>
    <w:p>
      <w:pPr>
        <w:spacing w:after="120"/>
      </w:pPr>
      <w:r>
        <w:t xml:space="preserve">[Capital and operating costs from the pilot cost record, including internal labor; implications for full-deployment unit costs.]</w:t>
      </w:r>
    </w:p>
    <w:p>
      <w:pPr>
        <w:pStyle w:val="Heading2"/>
      </w:pPr>
      <w:r>
        <w:t xml:space="preserve">9. Lessons Learned</w:t>
      </w:r>
    </w:p>
    <w:p>
      <w:pPr>
        <w:spacing w:after="120"/>
      </w:pPr>
      <w:r>
        <w:t xml:space="preserve">[Technology, installation, integration, processes, consumer engagement, vendor performance, organization.]</w:t>
      </w:r>
    </w:p>
    <w:p>
      <w:pPr>
        <w:pStyle w:val="Heading2"/>
      </w:pPr>
      <w:r>
        <w:t xml:space="preserve">10. Changes Required Before Scaling</w:t>
      </w:r>
    </w:p>
    <w:p>
      <w:pPr>
        <w:spacing w:after="120"/>
      </w:pPr>
      <w:r>
        <w:t xml:space="preserve">[Technology, contract, process, staffing, and training changes, each with an owner.]</w:t>
      </w:r>
    </w:p>
    <w:p>
      <w:pPr>
        <w:pStyle w:val="Heading2"/>
      </w:pPr>
      <w:r>
        <w:t xml:space="preserve">11. Recommendation</w:t>
      </w:r>
    </w:p>
    <w:p>
      <w:pPr>
        <w:spacing w:after="120"/>
      </w:pPr>
      <w:r>
        <w:t xml:space="preserve">[Recommended Gate 4 outcome for each stratum and any conditions. If an advisor delivered or supplied the pilot, confirm that the utility prepared this report and that results were independently verified (Protocol 13.3; for Metro Power, also 30.5).]</w:t>
      </w:r>
    </w:p>
    <w:p>
      <w:pPr>
        <w:pStyle w:val="Heading1"/>
        <w:pageBreakBefore/>
      </w:pPr>
      <w:r>
        <w:t xml:space="preserve">T3: Regulatory Application Package Outline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DEEAF6" w:color="auto" w:val="clear"/>
            <w:tcMar>
              <w:top w:type="dxa" w:w="100"/>
              <w:left w:type="dxa" w:w="160"/>
              <w:bottom w:type="dxa" w:w="100"/>
              <w:right w:type="dxa" w:w="160"/>
            </w:tcMar>
          </w:tcPr>
          <w:p>
            <w:pPr>
              <w:spacing w:after="60" w:before="60"/>
            </w:pPr>
            <w:r>
              <w:rPr>
                <w:b/>
                <w:bCs/>
                <w:color w:val="1F3864"/>
              </w:rPr>
              <w:t xml:space="preserve">Before you start</w:t>
            </w:r>
          </w:p>
          <w:p>
            <w:pPr>
              <w:spacing w:after="60"/>
            </w:pPr>
            <w:r>
              <w:t xml:space="preserve">Confirm the approval route and filing requirements under the ERC Amended AMI Rules and any supplemental guidelines issued since, together with the utility’s applicable CAPEX and rate rules. For electric cooperatives, confirm NEA requirements. Where the ERC prescribes a format, the prescribed format governs and this outline is used only as a completeness check.</w:t>
            </w:r>
          </w:p>
        </w:tc>
      </w:tr>
    </w:tbl>
    <w:p>
      <w:pPr>
        <w:spacing w:after="120"/>
      </w:pPr>
    </w:p>
    <w:p>
      <w:pPr>
        <w:pStyle w:val="Heading2"/>
      </w:pPr>
      <w:r>
        <w:t xml:space="preserve">Project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Project title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Utility name and franchise area</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Project sponsor</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Project manager</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Proposed deployment area(s)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Number of meters by type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Project duration</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Total capital cost (₱)</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Annual operating cost (₱)</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Approval route (e.g., CAPEX application or rate reset)</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Related prior approvals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Contents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5"/>
        <w:gridCol w:w="655"/>
        <w:gridCol w:w="655"/>
        <w:gridCol w:w="842"/>
        <w:gridCol w:w="2903"/>
      </w:tblGrid>
      <w:tr>
        <w:trPr>
          <w:tblHeader/>
        </w:trPr>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Item</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Included</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N/A</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Pending</w:t>
            </w:r>
          </w:p>
        </w:tc>
        <w:tc>
          <w:tcPr>
            <w:tcW w:type="dxa" w:w="29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Location / remarks</w:t>
            </w: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Executive summary: need, solution, cost, benefits, consumer impact</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Need and justification with measured baseline (Toolkit A2)</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Objectives and measurable targets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Technical description: meters, communications, HES, MDMS, integration, CMDC</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Alternatives considered, including technology options (Toolkit M1) and doing nothing</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evidence: Pilot Evaluation Report (T2) and acceptance results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Type approval evidence for every meter model</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Capital and operating costs over the asset life (Toolkit M2)</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Benefits with baseline, mechanism, and owner</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Financial evaluation and sensitivity analysis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Rate impact on consumers, computed under the applicable ERC methodology</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Treatment of retired legacy meters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protection: communication, disconnection safeguards, complaints, vulnerable consumers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Cybersecurity and data privacy: controls, PIA, compliance with NPC and DOE requirements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Procurement process and contract protections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Implementation plan: waves, schedule, resources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Risk register and mitigation</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Performance reporting plan</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resolution and other internal approvals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Compliance matrix mapping each ERC requirement to its location in the package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T4: AMI Requirements Specification and Tender Outline</w:t>
      </w:r>
    </w:p>
    <w:p>
      <w:pPr>
        <w:spacing w:after="120"/>
      </w:pPr>
      <w:r>
        <w:t xml:space="preserve">Use with Protocol Annex E. Requirements must apply to the architecture selected in Stage M and be written so that compliance can be tested.</w:t>
      </w:r>
    </w:p>
    <w:p>
      <w:pPr>
        <w:pStyle w:val="Heading2"/>
      </w:pPr>
      <w:r>
        <w:t xml:space="preserve">Document Structure</w:t>
      </w:r>
    </w:p>
    <w:p>
      <w:pPr>
        <w:pStyle w:val="ListParagraph"/>
        <w:numPr>
          <w:ilvl w:val="0"/>
          <w:numId w:val="2"/>
        </w:numPr>
        <w:spacing w:after="60"/>
      </w:pPr>
      <w:r>
        <w:t xml:space="preserve">Instructions to bidders and evaluation method (lifecycle cost basis; technical pass/fail items; scoring)</w:t>
      </w:r>
    </w:p>
    <w:p>
      <w:pPr>
        <w:pStyle w:val="ListParagraph"/>
        <w:numPr>
          <w:ilvl w:val="0"/>
          <w:numId w:val="2"/>
        </w:numPr>
        <w:spacing w:after="60"/>
      </w:pPr>
      <w:r>
        <w:t xml:space="preserve">Scope of supply and services, by pilot and by optional later waves</w:t>
      </w:r>
    </w:p>
    <w:p>
      <w:pPr>
        <w:pStyle w:val="ListParagraph"/>
        <w:numPr>
          <w:ilvl w:val="0"/>
          <w:numId w:val="2"/>
        </w:numPr>
        <w:spacing w:after="60"/>
      </w:pPr>
      <w:r>
        <w:t xml:space="preserve">Functional requirements (Annex E.1–E.5)</w:t>
      </w:r>
    </w:p>
    <w:p>
      <w:pPr>
        <w:pStyle w:val="ListParagraph"/>
        <w:numPr>
          <w:ilvl w:val="0"/>
          <w:numId w:val="2"/>
        </w:numPr>
        <w:spacing w:after="60"/>
      </w:pPr>
      <w:r>
        <w:t xml:space="preserve">Performance requirements and service levels</w:t>
      </w:r>
    </w:p>
    <w:p>
      <w:pPr>
        <w:pStyle w:val="ListParagraph"/>
        <w:numPr>
          <w:ilvl w:val="0"/>
          <w:numId w:val="2"/>
        </w:numPr>
        <w:spacing w:after="60"/>
      </w:pPr>
      <w:r>
        <w:t xml:space="preserve">Cybersecurity and data privacy requirements (Protocol Section 16)</w:t>
      </w:r>
    </w:p>
    <w:p>
      <w:pPr>
        <w:pStyle w:val="ListParagraph"/>
        <w:numPr>
          <w:ilvl w:val="0"/>
          <w:numId w:val="2"/>
        </w:numPr>
        <w:spacing w:after="60"/>
      </w:pPr>
      <w:r>
        <w:t xml:space="preserve">Interoperability, data ownership, and exit requirements</w:t>
      </w:r>
    </w:p>
    <w:p>
      <w:pPr>
        <w:pStyle w:val="ListParagraph"/>
        <w:numPr>
          <w:ilvl w:val="0"/>
          <w:numId w:val="2"/>
        </w:numPr>
        <w:spacing w:after="60"/>
      </w:pPr>
      <w:r>
        <w:t xml:space="preserve">Testing and acceptance (FAT, SAT, integration, security, UAT) with payment milestones</w:t>
      </w:r>
    </w:p>
    <w:p>
      <w:pPr>
        <w:pStyle w:val="ListParagraph"/>
        <w:numPr>
          <w:ilvl w:val="0"/>
          <w:numId w:val="2"/>
        </w:numPr>
        <w:spacing w:after="60"/>
      </w:pPr>
      <w:r>
        <w:t xml:space="preserve">Training, documentation, and knowledge transfer</w:t>
      </w:r>
    </w:p>
    <w:p>
      <w:pPr>
        <w:pStyle w:val="ListParagraph"/>
        <w:numPr>
          <w:ilvl w:val="0"/>
          <w:numId w:val="2"/>
        </w:numPr>
        <w:spacing w:after="60"/>
      </w:pPr>
      <w:r>
        <w:t xml:space="preserve">Warranty, spares, support, and lifecycle commitments</w:t>
      </w:r>
    </w:p>
    <w:p>
      <w:pPr>
        <w:pStyle w:val="ListParagraph"/>
        <w:numPr>
          <w:ilvl w:val="0"/>
          <w:numId w:val="2"/>
        </w:numPr>
        <w:spacing w:after="60"/>
      </w:pPr>
      <w:r>
        <w:t xml:space="preserve">Commercial terms: pricing for later waves, foreign-exchange treatment, delivery, penalties</w:t>
      </w:r>
    </w:p>
    <w:p>
      <w:pPr>
        <w:pStyle w:val="ListParagraph"/>
        <w:numPr>
          <w:ilvl w:val="0"/>
          <w:numId w:val="2"/>
        </w:numPr>
        <w:spacing w:after="60"/>
      </w:pPr>
      <w:r>
        <w:t xml:space="preserve">Compliance response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DEEAF6" w:color="auto" w:val="clear"/>
            <w:tcMar>
              <w:top w:type="dxa" w:w="100"/>
              <w:left w:type="dxa" w:w="160"/>
              <w:bottom w:type="dxa" w:w="100"/>
              <w:right w:type="dxa" w:w="160"/>
            </w:tcMar>
          </w:tcPr>
          <w:p>
            <w:pPr>
              <w:spacing w:after="60" w:before="60"/>
            </w:pPr>
            <w:r>
              <w:rPr>
                <w:b/>
                <w:bCs/>
                <w:color w:val="1F3864"/>
              </w:rPr>
              <w:t xml:space="preserve">Independent specification review (every tender)</w:t>
            </w:r>
          </w:p>
          <w:p>
            <w:pPr>
              <w:spacing w:after="60"/>
            </w:pPr>
            <w:r>
              <w:t xml:space="preserve">Before issue, have the package reviewed for vendor bias by a qualified party that did not prepare it; on the lean path this may be internal audit or a peer utility. If the advisor that prepared it intends to bid, the reviewer must be external to both, and the advisor is excluded from bid evaluation (Protocol 13.3).</w:t>
            </w:r>
          </w:p>
        </w:tc>
      </w:tr>
    </w:tbl>
    <w:p>
      <w:pPr>
        <w:spacing w:after="120"/>
      </w:pPr>
    </w:p>
    <w:p>
      <w:pPr>
        <w:pStyle w:val="Heading2"/>
      </w:pPr>
      <w:r>
        <w:t xml:space="preserve">Clauses the Utility Should Not Leave Out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Clause</w:t>
            </w:r>
          </w:p>
        </w:tc>
        <w:tc>
          <w:tcPr>
            <w:tcW w:type="dxa" w:w="468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Purpose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 owns all data, keys, and certificates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Prevents lock-in and protects security</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export in documented, non-proprietary formats at no charge</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Enables change of vendor or system</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Documented APIs; standards-based protocols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Integration and multi-vendor options</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Payments tied to acceptance milestones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Pays for working systems, not deliveries</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ERC type approval before installation</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Regulatory compliance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Service levels with remedies for availability, read performance, defect response, and security patching</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Enforceable performance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Disclosure of cloud hosting locations, third-party components, and subcontractors with data access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Privacy and supply-chain security</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incident notification to the utility within a defined time</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Supports regulatory notification duties</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Right to audit and to independent security testing</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Assurance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Firmware and software support period; end-of-life notice</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Lifecycle planning</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Price protection for later waves; foreign-exchange rule</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Business case stability</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Serial (batch-wide) failure clause: if failures in a batch exceed the agreed rate, the supplier replaces the whole batch at its cost</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Protection against batch defects</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Reference test-lab units supplied and supported for the life of the contract</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Firmware regression testing</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Interoperability conformance certificates for supplied models and firmware (e.g., DLMS UA, Wi-SUN)</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Evidence, not claims</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STS Edition 2 or later, post-2024 token identifiers, and utility-controlled vending keys from the KMC (if token prepaid)</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Prepaid continuity</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Wrapped key transfer, replacement of manufacturing keys after commissioning, and no supplier copies of utility keys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Key custody (Protocol 16.1)</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Software bill of materials, vulnerability disclosure, protected signing keys, and vendor access only via a utility jump host</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Supply-chain security (Annex E.6)</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Disconnection windows, notice periods, and holiday calendar configurable as parameters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Regulatory change without software change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Private APN or VPN, multi-carrier or eSIM, and replaceable module for cellular meters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and network-shutdown protection</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Processing agreement under the Data Privacy Act; hosting location and cross-border access disclosed</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Privacy compliance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findings remediated within deadlines (Critical 15 days, High 30 days, Medium 90 days) with remedies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gate rule (Protocol 16.1)</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Disaster recovery objectives and backup-power durations, tested at SAT</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Resilience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Source code or configuration escrow and transition assistance</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Continuity</w:t>
            </w:r>
          </w:p>
        </w:tc>
      </w:tr>
    </w:tbl>
    <w:p>
      <w:pPr>
        <w:spacing w:after="120"/>
      </w:pPr>
    </w:p>
    <w:p>
      <w:pPr>
        <w:pStyle w:val="Heading1"/>
        <w:pageBreakBefore/>
      </w:pPr>
      <w:r>
        <w:t xml:space="preserve">T5: Consumer Pre-Installation Notice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DEEAF6" w:color="auto" w:val="clear"/>
            <w:tcMar>
              <w:top w:type="dxa" w:w="100"/>
              <w:left w:type="dxa" w:w="160"/>
              <w:bottom w:type="dxa" w:w="100"/>
              <w:right w:type="dxa" w:w="160"/>
            </w:tcMar>
          </w:tcPr>
          <w:p>
            <w:pPr>
              <w:spacing w:after="60" w:before="60"/>
            </w:pPr>
            <w:r>
              <w:rPr>
                <w:b/>
                <w:bCs/>
                <w:color w:val="1F3864"/>
              </w:rPr>
              <w:t xml:space="preserve">Instructions</w:t>
            </w:r>
          </w:p>
          <w:p>
            <w:pPr>
              <w:spacing w:after="60"/>
            </w:pPr>
            <w:r>
              <w:t xml:space="preserve">Translate into the local language, using a qualified translator, and back-check the translation. Test the draft with a small group of consumers, including senior citizens, and simplify anything they misread. Deliver at least [number] days before installation. Coordinate the schedule with barangay officials first. Provide assisted or verbal explanation for consumers who cannot read the notice (Protocol 17.6).</w:t>
            </w:r>
          </w:p>
        </w:tc>
      </w:tr>
    </w:tbl>
    <w:p>
      <w:pPr>
        <w:spacing w:after="120"/>
      </w:pPr>
    </w:p>
    <w:p>
      <w:pPr>
        <w:spacing w:after="120"/>
      </w:pPr>
      <w:r>
        <w:rPr>
          <w:b/>
          <w:bCs/>
        </w:rPr>
        <w:t xml:space="preserve">[Utility name and logo]</w:t>
      </w:r>
    </w:p>
    <w:p>
      <w:pPr>
        <w:spacing w:after="120"/>
      </w:pPr>
      <w:r>
        <w:t xml:space="preserve">Dear Member-Consumer-Owner / Customer,</w:t>
      </w:r>
    </w:p>
    <w:p>
      <w:pPr>
        <w:spacing w:after="120"/>
      </w:pPr>
      <w:r>
        <w:rPr>
          <w:b/>
          <w:bCs/>
        </w:rPr>
        <w:t xml:space="preserve">We are replacing your electric meter with a smart meter.</w:t>
      </w:r>
    </w:p>
    <w:p>
      <w:pPr>
        <w:spacing w:after="120"/>
      </w:pPr>
      <w:r>
        <w:t xml:space="preserve">Between </w:t>
      </w:r>
      <w:r>
        <w:rPr>
          <w:b/>
          <w:bCs/>
        </w:rPr>
        <w:t xml:space="preserve">[dates]</w:t>
      </w:r>
      <w:r>
        <w:t xml:space="preserve">, our authorized team will replace the meter at </w:t>
      </w:r>
      <w:r>
        <w:rPr>
          <w:b/>
          <w:bCs/>
        </w:rPr>
        <w:t xml:space="preserve">[address / account number]</w:t>
      </w:r>
      <w:r>
        <w:t xml:space="preserve">. The work takes about </w:t>
      </w:r>
      <w:r>
        <w:rPr>
          <w:b/>
          <w:bCs/>
        </w:rPr>
        <w:t xml:space="preserve">[minutes]</w:t>
      </w:r>
      <w:r>
        <w:t xml:space="preserve"> and requires a brief power interruption of about </w:t>
      </w:r>
      <w:r>
        <w:rPr>
          <w:b/>
          <w:bCs/>
        </w:rPr>
        <w:t xml:space="preserve">[minutes]</w:t>
      </w:r>
      <w:r>
        <w:t xml:space="preserve">.</w:t>
      </w:r>
    </w:p>
    <w:p>
      <w:pPr>
        <w:spacing w:after="120"/>
      </w:pPr>
      <w:r>
        <w:rPr>
          <w:b/>
          <w:bCs/>
        </w:rPr>
        <w:t xml:space="preserve">Why we are doing this.</w:t>
      </w:r>
      <w:r>
        <w:t xml:space="preserve"> Smart meters send readings to us automatically. This means fewer estimated bills, faster detection of outages, and access to information about your own electricity use.</w:t>
      </w:r>
    </w:p>
    <w:p>
      <w:pPr>
        <w:spacing w:after="120"/>
      </w:pPr>
      <w:r>
        <w:rPr>
          <w:b/>
          <w:bCs/>
        </w:rPr>
        <w:t xml:space="preserve">What will happen.</w:t>
      </w:r>
      <w:r>
        <w:t xml:space="preserve"> Before removing your old meter, our team will record its final reading and take a photo of it. You or a household member are welcome to witness this. The new meter will be sealed and its details recorded.</w:t>
      </w:r>
    </w:p>
    <w:p>
      <w:pPr>
        <w:spacing w:after="120"/>
      </w:pPr>
      <w:r>
        <w:rPr>
          <w:b/>
          <w:bCs/>
        </w:rPr>
        <w:t xml:space="preserve">How to recognize our team.</w:t>
      </w:r>
      <w:r>
        <w:t xml:space="preserve"> Our installers wear </w:t>
      </w:r>
      <w:r>
        <w:rPr>
          <w:b/>
          <w:bCs/>
        </w:rPr>
        <w:t xml:space="preserve">[uniform description]</w:t>
      </w:r>
      <w:r>
        <w:t xml:space="preserve"> and carry a </w:t>
      </w:r>
      <w:r>
        <w:rPr>
          <w:b/>
          <w:bCs/>
        </w:rPr>
        <w:t xml:space="preserve">[utility] ID card</w:t>
      </w:r>
      <w:r>
        <w:t xml:space="preserve"> with photo. We will never ask you for payment during installation. If in doubt, call </w:t>
      </w:r>
      <w:r>
        <w:rPr>
          <w:b/>
          <w:bCs/>
        </w:rPr>
        <w:t xml:space="preserve">[hotline]</w:t>
      </w:r>
      <w:r>
        <w:t xml:space="preserve"> before allowing anyone to work on your meter.</w:t>
      </w:r>
    </w:p>
    <w:p>
      <w:pPr>
        <w:spacing w:after="120"/>
      </w:pPr>
      <w:r>
        <w:rPr>
          <w:b/>
          <w:bCs/>
        </w:rPr>
        <w:t xml:space="preserve">Your bill.</w:t>
      </w:r>
      <w:r>
        <w:t xml:space="preserve"> Your bill will be based on actual readings from your new meter, at the approved rates. If your previous bills were estimated, your first bills after the change may differ, and we will explain any difference if you ask. The cost of the smart meter program is recovered through rates only as approved by the Energy Regulatory Commission. </w:t>
      </w:r>
      <w:r>
        <w:rPr>
          <w:b/>
          <w:bCs/>
        </w:rPr>
        <w:t xml:space="preserve">[Describe the approved rate treatment, if any, in plain language.]</w:t>
      </w:r>
    </w:p>
    <w:p>
      <w:pPr>
        <w:spacing w:after="120"/>
      </w:pPr>
      <w:r>
        <w:rPr>
          <w:b/>
          <w:bCs/>
        </w:rPr>
        <w:t xml:space="preserve">Your data.</w:t>
      </w:r>
      <w:r>
        <w:t xml:space="preserve"> Your meter data is used to bill you correctly and to run the network. It is protected under the Data Privacy Act of 2012. Our privacy notice is available at </w:t>
      </w:r>
      <w:r>
        <w:rPr>
          <w:b/>
          <w:bCs/>
        </w:rPr>
        <w:t xml:space="preserve">[location / website]</w:t>
      </w:r>
      <w:r>
        <w:t xml:space="preserve">.</w:t>
      </w:r>
    </w:p>
    <w:p>
      <w:pPr>
        <w:spacing w:after="120"/>
      </w:pPr>
      <w:r>
        <w:rPr>
          <w:b/>
          <w:bCs/>
        </w:rPr>
        <w:t xml:space="preserve">Your rights.</w:t>
      </w:r>
      <w:r>
        <w:t xml:space="preserve"> Remote disconnection follows the same notice and timing rules as a field disconnection. You may ask for your meter to be tested, and we will report the result within </w:t>
      </w:r>
      <w:r>
        <w:rPr>
          <w:b/>
          <w:bCs/>
        </w:rPr>
        <w:t xml:space="preserve">[number]</w:t>
      </w:r>
      <w:r>
        <w:t xml:space="preserve"> working days.</w:t>
      </w:r>
    </w:p>
    <w:p>
      <w:pPr>
        <w:spacing w:after="120"/>
      </w:pPr>
      <w:r>
        <w:rPr>
          <w:b/>
          <w:bCs/>
        </w:rPr>
        <w:t xml:space="preserve">Questions or concerns.</w:t>
      </w:r>
      <w:r>
        <w:t xml:space="preserve"> Call </w:t>
      </w:r>
      <w:r>
        <w:rPr>
          <w:b/>
          <w:bCs/>
        </w:rPr>
        <w:t xml:space="preserve">[hotline]</w:t>
      </w:r>
      <w:r>
        <w:t xml:space="preserve">, text </w:t>
      </w:r>
      <w:r>
        <w:rPr>
          <w:b/>
          <w:bCs/>
        </w:rPr>
        <w:t xml:space="preserve">[number]</w:t>
      </w:r>
      <w:r>
        <w:t xml:space="preserve">, visit </w:t>
      </w:r>
      <w:r>
        <w:rPr>
          <w:b/>
          <w:bCs/>
        </w:rPr>
        <w:t xml:space="preserve">[office]</w:t>
      </w:r>
      <w:r>
        <w:t xml:space="preserve">, or message </w:t>
      </w:r>
      <w:r>
        <w:rPr>
          <w:b/>
          <w:bCs/>
        </w:rPr>
        <w:t xml:space="preserve">[social media page]</w:t>
      </w:r>
      <w:r>
        <w:t xml:space="preserve">.</w:t>
      </w:r>
    </w:p>
    <w:p>
      <w:pPr>
        <w:spacing w:after="120"/>
      </w:pPr>
      <w:r>
        <w:t xml:space="preserve">[Name, title, signature]</w:t>
      </w:r>
    </w:p>
    <w:p>
      <w:pPr>
        <w:pStyle w:val="Heading1"/>
        <w:pageBreakBefore/>
      </w:pPr>
      <w:r>
        <w:t xml:space="preserve">T6: First AMI Bill Explanation Insert</w:t>
      </w:r>
    </w:p>
    <w:p>
      <w:pPr>
        <w:spacing w:after="120"/>
      </w:pPr>
      <w:r>
        <w:rPr>
          <w:b/>
          <w:bCs/>
        </w:rPr>
        <w:t xml:space="preserve">About your first bill after your new smart meter</w:t>
      </w:r>
    </w:p>
    <w:p>
      <w:pPr>
        <w:pStyle w:val="ListParagraph"/>
        <w:numPr>
          <w:ilvl w:val="0"/>
          <w:numId w:val="3"/>
        </w:numPr>
        <w:spacing w:after="60"/>
      </w:pPr>
      <w:r>
        <w:t xml:space="preserve">This bill is based on an actual reading taken automatically from your new meter.</w:t>
      </w:r>
    </w:p>
    <w:p>
      <w:pPr>
        <w:pStyle w:val="ListParagraph"/>
        <w:numPr>
          <w:ilvl w:val="0"/>
          <w:numId w:val="3"/>
        </w:numPr>
        <w:spacing w:after="60"/>
      </w:pPr>
      <w:r>
        <w:t xml:space="preserve">Your final reading from the old meter was </w:t>
      </w:r>
      <w:r>
        <w:rPr>
          <w:b/>
          <w:bCs/>
        </w:rPr>
        <w:t xml:space="preserve">[reading]</w:t>
      </w:r>
      <w:r>
        <w:t xml:space="preserve"> on </w:t>
      </w:r>
      <w:r>
        <w:rPr>
          <w:b/>
          <w:bCs/>
        </w:rPr>
        <w:t xml:space="preserve">[date]</w:t>
      </w:r>
      <w:r>
        <w:t xml:space="preserve">. It has been included in this bill / your previous bill.</w:t>
      </w:r>
    </w:p>
    <w:p>
      <w:pPr>
        <w:pStyle w:val="ListParagraph"/>
        <w:numPr>
          <w:ilvl w:val="0"/>
          <w:numId w:val="3"/>
        </w:numPr>
        <w:spacing w:after="60"/>
      </w:pPr>
      <w:r>
        <w:t xml:space="preserve">If some of your previous bills were estimated, this bill may be higher or lower as the actual reading corrects earlier estimates.</w:t>
      </w:r>
    </w:p>
    <w:p>
      <w:pPr>
        <w:pStyle w:val="ListParagraph"/>
        <w:numPr>
          <w:ilvl w:val="0"/>
          <w:numId w:val="3"/>
        </w:numPr>
        <w:spacing w:after="60"/>
      </w:pPr>
      <w:r>
        <w:t xml:space="preserve">Your usage can be viewed at </w:t>
      </w:r>
      <w:r>
        <w:rPr>
          <w:b/>
          <w:bCs/>
        </w:rPr>
        <w:t xml:space="preserve">[channel]</w:t>
      </w:r>
      <w:r>
        <w:t xml:space="preserve">, so you can see when you use the most electricity.</w:t>
      </w:r>
    </w:p>
    <w:p>
      <w:pPr>
        <w:pStyle w:val="ListParagraph"/>
        <w:numPr>
          <w:ilvl w:val="0"/>
          <w:numId w:val="3"/>
        </w:numPr>
        <w:spacing w:after="60"/>
      </w:pPr>
      <w:r>
        <w:t xml:space="preserve">If you think your bill is wrong, contact </w:t>
      </w:r>
      <w:r>
        <w:rPr>
          <w:b/>
          <w:bCs/>
        </w:rPr>
        <w:t xml:space="preserve">[hotline]</w:t>
      </w:r>
      <w:r>
        <w:t xml:space="preserve">. We will review it with you, and you may request a meter test under the applicable ERC rules.</w:t>
      </w:r>
    </w:p>
    <w:p>
      <w:pPr>
        <w:pStyle w:val="Heading1"/>
        <w:pageBreakBefore/>
      </w:pPr>
      <w:r>
        <w:t xml:space="preserve">T7: Field Installation and Safety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DEEAF6" w:color="auto" w:val="clear"/>
            <w:tcMar>
              <w:top w:type="dxa" w:w="100"/>
              <w:left w:type="dxa" w:w="160"/>
              <w:bottom w:type="dxa" w:w="100"/>
              <w:right w:type="dxa" w:w="160"/>
            </w:tcMar>
          </w:tcPr>
          <w:p>
            <w:pPr>
              <w:spacing w:after="60" w:before="60"/>
            </w:pPr>
            <w:r>
              <w:rPr>
                <w:b/>
                <w:bCs/>
                <w:color w:val="1F3864"/>
              </w:rPr>
              <w:t xml:space="preserve">Safety first</w:t>
            </w:r>
          </w:p>
          <w:p>
            <w:pPr>
              <w:spacing w:after="60"/>
            </w:pPr>
            <w:r>
              <w:t xml:space="preserve">This checklist supplements, and never replaces, the utility’s safety rules and applicable occupational safety and health requirements, including RA 11058 and DOLE rules. Stop work if any condition is unsafe.</w:t>
            </w:r>
          </w:p>
        </w:tc>
      </w:tr>
    </w:tbl>
    <w:p>
      <w:pPr>
        <w:spacing w:after="120"/>
      </w:pPr>
    </w:p>
    <w:p>
      <w:pPr>
        <w:pStyle w:val="Heading2"/>
      </w:pPr>
      <w:r>
        <w:t xml:space="preserve">Before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5"/>
        <w:gridCol w:w="655"/>
        <w:gridCol w:w="655"/>
        <w:gridCol w:w="842"/>
        <w:gridCol w:w="2903"/>
      </w:tblGrid>
      <w:tr>
        <w:trPr>
          <w:tblHeader/>
        </w:trPr>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Item</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Yes</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No</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Partial</w:t>
            </w:r>
          </w:p>
        </w:tc>
        <w:tc>
          <w:tcPr>
            <w:tcW w:type="dxa" w:w="29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Evidence / Remarks</w:t>
            </w: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Installer wearing uniform and utility ID; work order matches address and account</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or household informed on arrival; installation notice was delivered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Required personal protective equipment worn and in good condition</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Voltage checked with a tested instrument before touching the installation</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Checked for possible backfeed: rooftop solar or net-metered system, generators, or unauthorized connections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base or socket, service drop, and conductors inspected; hazards recorded and reported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Old meter: final reading recorded and photographed with serial number and timestamp; consumer invited to witness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If there is evidence of tampering or an illegal connection: STOP. Photograph it, do not remove the meter, and call the loss-reduction team (Protocol 20.5)</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CT-connected meters: short the CT secondaries using the test switch before removing the meter; never open a live CT circuit</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socket: check for heat damage, loose jaws, or burn marks (hot-socket risk) before removal</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Working at height and heat stress controls in place; contractor safety compliance confirmed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During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5"/>
        <w:gridCol w:w="655"/>
        <w:gridCol w:w="655"/>
        <w:gridCol w:w="842"/>
        <w:gridCol w:w="2903"/>
      </w:tblGrid>
      <w:tr>
        <w:trPr>
          <w:tblHeader/>
        </w:trPr>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Item</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Yes</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No</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Partial</w:t>
            </w:r>
          </w:p>
        </w:tc>
        <w:tc>
          <w:tcPr>
            <w:tcW w:type="dxa" w:w="29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Evidence / Remarks</w:t>
            </w: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Correct meter type for the account (segment, phase, net-metering, prepaid)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Connections made and torqued per procedure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sealed; seal numbers recorded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Tamper and cover-open events cleared or recorded after sealing</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Meter-to-transformer mapping verified in the field (transformer ID confirmed)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GPS location and photos of installation recorded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After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5"/>
        <w:gridCol w:w="655"/>
        <w:gridCol w:w="655"/>
        <w:gridCol w:w="842"/>
        <w:gridCol w:w="2903"/>
      </w:tblGrid>
      <w:tr>
        <w:trPr>
          <w:tblHeader/>
        </w:trPr>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Item</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Yes</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No</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Partial</w:t>
            </w:r>
          </w:p>
        </w:tc>
        <w:tc>
          <w:tcPr>
            <w:tcW w:type="dxa" w:w="29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Evidence / Remarks</w:t>
            </w: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Supply restored; consumer’s power confirmed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communicates and appears in the HES; first read received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 record synchronized to CIS and MDMS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given information leaflet and hotline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Old meter tagged, secured, and returned for testing or disposal per procedure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Any safety observation or incident reported the same day</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T8: Wave Completion Report</w:t>
      </w:r>
    </w:p>
    <w:p>
      <w:pPr>
        <w:spacing w:after="120"/>
      </w:pPr>
      <w:r>
        <w:t xml:space="preserve">Use at the end of each wave (area). Cohort checks within the wave are recorded in the Toolkit sheet “R Rollout Cohorts.”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Wave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Areas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Meters planned / installed / commissioned</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Dates (planned vs actual)</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Prepared by</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Date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Cohort Check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1404"/>
        <w:gridCol w:w="3276"/>
      </w:tblGrid>
      <w:tr>
        <w:trPr>
          <w:tblHeader/>
        </w:trPr>
        <w:tc>
          <w:tcPr>
            <w:tcW w:type="dxa" w:w="468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Check</w:t>
            </w:r>
          </w:p>
        </w:tc>
        <w:tc>
          <w:tcPr>
            <w:tcW w:type="dxa" w:w="14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Result</w:t>
            </w:r>
          </w:p>
        </w:tc>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Evidence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Cohorts checked; cohorts paused and why</w:t>
            </w: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 KPIs at first full billing cycle</w:t>
            </w: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 audit defect rate and first-time-right rate</w:t>
            </w: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Critical or High security findings past remediation deadline (P6; Protocol 16.1)</w:t>
            </w: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Complaints versus pre-installation baseline</w:t>
            </w: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notification for next area</w:t>
            </w:r>
          </w:p>
        </w:tc>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Performance, Issues, and Lessons</w:t>
      </w:r>
    </w:p>
    <w:p>
      <w:pPr>
        <w:spacing w:after="120"/>
      </w:pPr>
      <w:r>
        <w:t xml:space="preserve">[KPIs, defects, safety observations, complaints and clusters, consumer feedback, vendor performance, changes for the next wave.]</w:t>
      </w:r>
    </w:p>
    <w:p>
      <w:pPr>
        <w:pStyle w:val="Heading2"/>
      </w:pPr>
      <w:r>
        <w:t xml:space="preserve">Benefits Observed</w:t>
      </w:r>
    </w:p>
    <w:p>
      <w:pPr>
        <w:spacing w:after="120"/>
      </w:pPr>
      <w:r>
        <w:t xml:space="preserve">[Early benefits against baseline for this wave’s area; update the Toolkit Benefits Tracker.]</w:t>
      </w:r>
    </w:p>
    <w:p>
      <w:pPr>
        <w:pStyle w:val="Heading2"/>
      </w:pPr>
      <w:r>
        <w:t xml:space="preserve">Recommendation</w:t>
      </w:r>
    </w:p>
    <w:p>
      <w:pPr>
        <w:spacing w:after="120"/>
      </w:pPr>
      <w:r>
        <w:t xml:space="preserve">[Proceed with next wave / pause and correct / re-plan remaining waves.]</w:t>
      </w:r>
    </w:p>
    <w:p>
      <w:pPr>
        <w:pStyle w:val="Heading1"/>
        <w:pageBreakBefore/>
      </w:pPr>
      <w:r>
        <w:t xml:space="preserve">T9: Independent Gate Review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DEEAF6" w:color="auto" w:val="clear"/>
            <w:tcMar>
              <w:top w:type="dxa" w:w="100"/>
              <w:left w:type="dxa" w:w="160"/>
              <w:bottom w:type="dxa" w:w="100"/>
              <w:right w:type="dxa" w:w="160"/>
            </w:tcMar>
          </w:tcPr>
          <w:p>
            <w:pPr>
              <w:spacing w:after="60" w:before="60"/>
            </w:pPr>
            <w:r>
              <w:rPr>
                <w:b/>
                <w:bCs/>
                <w:color w:val="1F3864"/>
              </w:rPr>
              <w:t xml:space="preserve">Purpose and rules</w:t>
            </w:r>
          </w:p>
          <w:p>
            <w:pPr>
              <w:spacing w:after="60"/>
            </w:pPr>
            <w:r>
              <w:t xml:space="preserve">An independent reviewer tests whether the evidence really supports the gate decision (Protocol Section 5.4). The reviewer must not have prepared the evidence or have a stake in the outcome. Metro Power never acts as an independent gate reviewer (Protocol 5.4, 30.5), and no advisor engaged on the program may review it (Protocol 13.3). The review is not a checklist exercise: judge actual progress and evidence, not the presence of documents.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Utility and program</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Gate reviewed</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Reviewer(s), organization, independence statement</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Review dates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People interviewed</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Documents reviewed (with versions)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1. Delivery Confidence Rating</w:t>
      </w:r>
    </w:p>
    <w:p>
      <w:pPr>
        <w:spacing w:after="120"/>
      </w:pPr>
      <w:r>
        <w:t xml:space="preserve">On the lean path (Protocol 2.5), a three-level rating (Green, Amber, Red) may be used.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7"/>
        <w:gridCol w:w="6739"/>
        <w:gridCol w:w="1124"/>
      </w:tblGrid>
      <w:tr>
        <w:trPr>
          <w:tblHeader/>
        </w:trPr>
        <w:tc>
          <w:tcPr>
            <w:tcW w:type="dxa" w:w="14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Rating</w:t>
            </w:r>
          </w:p>
        </w:tc>
        <w:tc>
          <w:tcPr>
            <w:tcW w:type="dxa" w:w="673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Meaning</w:t>
            </w:r>
          </w:p>
        </w:tc>
        <w:tc>
          <w:tcPr>
            <w:tcW w:type="dxa" w:w="112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Select</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Green</w:t>
            </w:r>
          </w:p>
        </w:tc>
        <w:tc>
          <w:tcPr>
            <w:tcW w:type="dxa" w:w="67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appears highly likely; no major issues threaten delivery</w:t>
            </w:r>
          </w:p>
        </w:tc>
        <w:tc>
          <w:tcPr>
            <w:tcW w:type="dxa" w:w="11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Green/Amber</w:t>
            </w:r>
          </w:p>
        </w:tc>
        <w:tc>
          <w:tcPr>
            <w:tcW w:type="dxa" w:w="67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appears probable; issues need attention but should not threaten delivery</w:t>
            </w:r>
          </w:p>
        </w:tc>
        <w:tc>
          <w:tcPr>
            <w:tcW w:type="dxa" w:w="11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Amber</w:t>
            </w:r>
          </w:p>
        </w:tc>
        <w:tc>
          <w:tcPr>
            <w:tcW w:type="dxa" w:w="67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is feasible, but significant issues need management attention now</w:t>
            </w:r>
          </w:p>
        </w:tc>
        <w:tc>
          <w:tcPr>
            <w:tcW w:type="dxa" w:w="11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Amber/Red</w:t>
            </w:r>
          </w:p>
        </w:tc>
        <w:tc>
          <w:tcPr>
            <w:tcW w:type="dxa" w:w="67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is in doubt; major issues must be resolved urgently</w:t>
            </w:r>
          </w:p>
        </w:tc>
        <w:tc>
          <w:tcPr>
            <w:tcW w:type="dxa" w:w="11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Red</w:t>
            </w:r>
          </w:p>
        </w:tc>
        <w:tc>
          <w:tcPr>
            <w:tcW w:type="dxa" w:w="67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appears unachievable without major changes to scope, plan, or approach</w:t>
            </w:r>
          </w:p>
        </w:tc>
        <w:tc>
          <w:tcPr>
            <w:tcW w:type="dxa" w:w="112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r>
    </w:tbl>
    <w:p>
      <w:pPr>
        <w:spacing w:after="120"/>
      </w:pPr>
    </w:p>
    <w:p>
      <w:pPr>
        <w:pStyle w:val="Heading2"/>
      </w:pPr>
      <w:r>
        <w:t xml:space="preserve">2. Summary</w:t>
      </w:r>
    </w:p>
    <w:p>
      <w:pPr>
        <w:spacing w:after="120"/>
      </w:pPr>
      <w:r>
        <w:t xml:space="preserve">[One paragraph: the reviewer’s overall view and the main reason for the rating.]</w:t>
      </w:r>
    </w:p>
    <w:p>
      <w:pPr>
        <w:pStyle w:val="Heading2"/>
      </w:pPr>
      <w:r>
        <w:t xml:space="preserve">3. Findings by Area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Area</w:t>
            </w:r>
          </w:p>
        </w:tc>
        <w:tc>
          <w:tcPr>
            <w:tcW w:type="dxa" w:w="56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Findings</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Strategic case and objectives</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Evidence against gate criteria</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Economic and financial case (assumptions, sensitivity, rate impact)</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Commercial case (procurement, contract protections)</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Management case (governance, capacity, plan, risks)</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Consumer protection and engagement</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Cybersecurity and privacy</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Pilot evidence and analysis-plan compliance (Gate 4)</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4. Recommendations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
        <w:gridCol w:w="4305"/>
        <w:gridCol w:w="2059"/>
        <w:gridCol w:w="1310"/>
        <w:gridCol w:w="1125"/>
      </w:tblGrid>
      <w:tr>
        <w:trPr>
          <w:tblHeader/>
        </w:trPr>
        <w:tc>
          <w:tcPr>
            <w:tcW w:type="dxa" w:w="5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Recommendation</w:t>
            </w:r>
          </w:p>
        </w:tc>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Class (Critical / Essential / Recommended)</w:t>
            </w:r>
          </w:p>
        </w:tc>
        <w:tc>
          <w:tcPr>
            <w:tcW w:type="dxa" w:w="131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Owner</w:t>
            </w:r>
          </w:p>
        </w:tc>
        <w:tc>
          <w:tcPr>
            <w:tcW w:type="dxa" w:w="112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Due</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6</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spacing w:after="120"/>
      </w:pPr>
      <w:r>
        <w:t xml:space="preserve">Critical: address before the decision. Essential: address soon, with an owner and date. Recommended: would improve the program.</w:t>
      </w:r>
    </w:p>
    <w:p>
      <w:pPr>
        <w:pStyle w:val="Heading2"/>
      </w:pPr>
      <w:r>
        <w:t xml:space="preserve">5. Sign-off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Reviewer signature and date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276"/>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Received by (decision owner) and date</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T10: Advisor Conflict-of-Interest Disclosure</w:t>
      </w:r>
    </w:p>
    <w:p>
      <w:pPr>
        <w:spacing w:after="120"/>
      </w:pPr>
      <w:r>
        <w:t xml:space="preserve">Given by any external advisor, including Metro Power, at the start of an engagement and updated if anything changes (Protocol 13.3; for Metro Power, also Section 30.5).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Advisor and utility</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Engagement scope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Technology partners and suppliers with which the advisor has a commercial relationship</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Commissions, margins, exclusivity, equity, or other interests relevant to the program</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Roles the advisor WILL seek (e.g., assessment, pilot management, supply)</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Roles the advisor will NOT take (e.g., independent reviewer, bid evaluator, author of the Pilot Evaluation Report for a pilot it supplied)</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Safeguards agreed (e.g., independent specification review; reviewer external to both advisor and utility if the advisor will bid)</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Where the advisor’s current partner list is published (if applicable)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Advisor acknowledges that a breach of Protocol 13.3 excludes it from the affected procurement</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Yes</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Signed for the advisor (name, title, date)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Acknowledged for the utility (name, title, date)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T11: AMPERE Conformance Statement and Transition Mapping</w:t>
      </w:r>
    </w:p>
    <w:p>
      <w:pPr>
        <w:spacing w:after="120"/>
      </w:pPr>
      <w:r>
        <w:t xml:space="preserve">Completed by the utility at each gate and at program close. It is the utility’s own statement; it is not a certification by Metro Power or any other party.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Utility and program</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Protocol and Toolkit versions followed</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Stage and gate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Minimum mandatory set (Protocol 2.5) met in full?</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Yes   ☐ No (explain)</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Approved tailoring decisions (reference W1 Tailoring &amp; Deviations)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Deviations and their approvals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Open conditions from earlier gates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Transition mapping on adoption of a sector framework (Protocol 23.4): nearest AMPERE stage; gates passed in substance; gaps affecting consumer protection, security, or billing accuracy, with closure dates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Signed (General Manager or program sponsor), date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T12: Program Exit Checklist</w:t>
      </w:r>
    </w:p>
    <w:p>
      <w:pPr>
        <w:spacing w:after="120"/>
      </w:pPr>
      <w:r>
        <w:t xml:space="preserve">Used when a gate decision stops the program (Protocol 5.5).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5"/>
        <w:gridCol w:w="655"/>
        <w:gridCol w:w="655"/>
        <w:gridCol w:w="842"/>
        <w:gridCol w:w="2903"/>
      </w:tblGrid>
      <w:tr>
        <w:trPr>
          <w:tblHeader/>
        </w:trPr>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Item</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Done</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No</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N/A</w:t>
            </w:r>
          </w:p>
        </w:tc>
        <w:tc>
          <w:tcPr>
            <w:tcW w:type="dxa" w:w="29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Owner / date / remarks</w:t>
            </w: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Stop decision recorded in the W1 Gate Log with reasons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Consumers with installed AMI meters notified of what happens next</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Decision on installed meters: continue operating (with manual reading if needed) or replace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Personal data: retention or deletion decided under the Data Privacy Act; DPO sign-off</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data exported from vendor systems in documented formats</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Contracts terminated or closed; exit assistance invoked; warranties and spares addressed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accounts disabled, keys revoked or transferred, remote access closed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Asset accounting and any regulatory treatment of costs addressed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ERC and, for electric cooperatives, the NEA notified where required; Adopting Body notified under a sector framework</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Lessons-learned review completed and shared with the Board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T13: Reviewer Accreditation Application and Conflict Declaration</w:t>
      </w:r>
    </w:p>
    <w:p>
      <w:pPr>
        <w:spacing w:after="120"/>
      </w:pPr>
      <w:r>
        <w:t xml:space="preserve">Submitted to the Adopting Body to join the pool of accredited independent reviewers (Protocol Section 28.2). The declaration is renewed at each assignment.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Name, organization, and position</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Relevant experience (utility operations, engineering, finance, audit, or AMI)</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AMPERE Reviewer training completed (date, provider)</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Current and past (3 years) relationships with AMI suppliers, integrators, or advisors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Current and past (3 years) relationships with utilities in the sector</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Employment by or contract with Metro Power, now or in the past 2 years (not eligible if so)</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References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2"/>
      </w:pPr>
      <w:r>
        <w:t xml:space="preserve">Declaration for Each Assignment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5"/>
        <w:gridCol w:w="655"/>
        <w:gridCol w:w="655"/>
        <w:gridCol w:w="842"/>
        <w:gridCol w:w="2903"/>
      </w:tblGrid>
      <w:tr>
        <w:trPr>
          <w:tblHeader/>
        </w:trPr>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Declaration</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Yes</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No</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N/A</w:t>
            </w:r>
          </w:p>
        </w:tc>
        <w:tc>
          <w:tcPr>
            <w:tcW w:type="dxa" w:w="29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Details if No</w:t>
            </w: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 have no commercial interest in the program under review or in any supplier or advisor bidding for it</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 did not prepare any of the evidence under review</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This assignment will not be my fourth consecutive review of this utility</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 will keep the utility’s information confidential and use it only for this review</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 will disclose immediately any conflict that arises during the review</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Utility and gate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Signature and date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T14: Framework Change Request</w:t>
      </w:r>
    </w:p>
    <w:p>
      <w:pPr>
        <w:spacing w:after="120"/>
      </w:pPr>
      <w:r>
        <w:t xml:space="preserve">Send to the owner of the edition you use: the Adopting Body, through its technical committee, for an adopted edition; or Metro Power for the Metro Power edition (Protocol Sections 30.1–30.2).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Entry</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Submitted by (name, organization, contact)</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Date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Protocol or Toolkit reference (section, annex, sheet, template)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Proposed change (exact wording where possible)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Reason and evidence (experience, data, regulation)</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Does it affect the core (Section 23.3), gates, Must criteria, or consumer safeguards?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Yes (major revision)   ☐ No (minor revision)</w:t>
            </w: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Impact on programs under way</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Edition concerned (Adopting Body edition or Metro Power edition)</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212"/>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Decision, version, and date (completed by the edition owner)</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p>
      <w:pPr>
        <w:pStyle w:val="Heading1"/>
        <w:pageBreakBefore/>
      </w:pPr>
      <w:r>
        <w:t xml:space="preserve">T15: Adoption Checklist for an Adopting Body</w:t>
      </w:r>
    </w:p>
    <w:p>
      <w:pPr>
        <w:spacing w:after="120"/>
      </w:pPr>
      <w:r>
        <w:t xml:space="preserve">Decisions a government agency, regulator, supervising body, or association should record before adopting AMPERE as a sector framework (Protocol Part III).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5"/>
        <w:gridCol w:w="655"/>
        <w:gridCol w:w="655"/>
        <w:gridCol w:w="842"/>
        <w:gridCol w:w="2903"/>
      </w:tblGrid>
      <w:tr>
        <w:trPr>
          <w:tblHeader/>
        </w:trPr>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Done</w:t>
            </w:r>
          </w:p>
        </w:tc>
        <w:tc>
          <w:tcPr>
            <w:tcW w:type="dxa" w:w="6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No</w:t>
            </w:r>
          </w:p>
        </w:tc>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N/A</w:t>
            </w:r>
          </w:p>
        </w:tc>
        <w:tc>
          <w:tcPr>
            <w:tcW w:type="dxa" w:w="29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Reference / owner / date</w:t>
            </w: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Form of adoption chosen: reference, reissue, or condition of support (Section 23.2)</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Legal authority and adoption instrument confirmed by counsel</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Utilities and programs covered defined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Localized content decided and listed; core kept unchanged (Section 23.3)</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Gates requiring concurrence and the processing time set, consistent with RA 11032 where applicable (Section 24.1)</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Operating model decided: secretariat, technical committee, reviewer pool coordinator (Section 24.2)</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Sector baseline values set: interval length, retention periods, cybersecurity outcome targets (Section 25)</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Conformance and certification approach agreed with the ERC (Section 25.2)</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Plan and owner for a sector companion specification agreed (Section 25.1)</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Legal basis for sector reporting confirmed, or data-sharing agreements in place; FOI and COA treatment stated (Section 26)</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Benchmark publication rules set, including minimum group size and peer groups (Section 26.3)</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Approach to shared services and joint procurement decided (Section 27)</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Reviewer pool established, with accreditation and rotation rules (Section 28.2)</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Training plan for utility Boards, program teams, and reviewers (Section 28)</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Transition rule for programs already under way applied (Section 23.4)</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Staged adoption plan: reference adoption, field validation, consultation, revision, then any mandatory use (Section 30.3)</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Edition name and attribution chosen under the license (Section 30.4); “AMPERE” name used only if the core is unchanged</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Revision authority and technical committee for the adopted edition established (Sections 30.1–30.2)</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Adoption instrument published and, where required for an administrative issuance, filed with the Office of the National Administrative Register</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6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t>
            </w:r>
          </w:p>
        </w:tc>
        <w:tc>
          <w:tcPr>
            <w:tcW w:type="dxa" w:w="29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bl>
    <w:p>
      <w:pPr>
        <w:spacing w:after="120"/>
      </w:pPr>
    </w:p>
    <w:sectPr>
      <w:headerReference w:type="default" r:id="rId7"/>
      <w:footerReference w:type="default" r:id="rId8"/>
      <w:footerReference w:type="first" r:id="rId9"/>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 2026 Metro Power Corporation   |   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The AMPERE Toolkit: Document Templates  |  Version 5.1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120"/>
      <w:outlineLvl w:val="0"/>
    </w:pPr>
    <w:rPr>
      <w:b/>
      <w:bCs/>
      <w:color w:val="1F3864"/>
      <w:sz w:val="32"/>
      <w:szCs w:val="32"/>
    </w:rPr>
  </w:style>
  <w:style w:type="paragraph" w:styleId="Heading2">
    <w:name w:val="Heading 2"/>
    <w:basedOn w:val="Normal"/>
    <w:next w:val="Normal"/>
    <w:qFormat/>
    <w:pPr>
      <w:keepNext/>
      <w:spacing w:after="100" w:before="240"/>
      <w:outlineLvl w:val="1"/>
    </w:pPr>
    <w:rPr>
      <w:b/>
      <w:bCs/>
      <w:color w:val="2E75B6"/>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AMPERE Toolkit: Document Templates v5.1</dc:title>
  <dc:creator>Metro Power Corporation</dc:creator>
  <cp:lastModifiedBy>Un-named</cp:lastModifiedBy>
  <cp:revision>1</cp:revision>
  <dcterms:created xsi:type="dcterms:W3CDTF">2026-09-21T21:21:30.103Z</dcterms:created>
  <dcterms:modified xsi:type="dcterms:W3CDTF">2026-09-21T21:21:30.103Z</dcterms:modified>
</cp:coreProperties>
</file>

<file path=docProps/custom.xml><?xml version="1.0" encoding="utf-8"?>
<Properties xmlns="http://schemas.openxmlformats.org/officeDocument/2006/custom-properties" xmlns:vt="http://schemas.openxmlformats.org/officeDocument/2006/docPropsVTypes"/>
</file>